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pStyle w:val="2"/>
        <w:spacing w:before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 w:val="0"/>
          <w:bCs/>
          <w:color w:val="000000"/>
          <w:sz w:val="44"/>
          <w:szCs w:val="44"/>
        </w:rPr>
        <w:t>企业新型学徒制培训企校合作协议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color w:val="000000"/>
          <w:sz w:val="44"/>
          <w:szCs w:val="44"/>
          <w:lang w:val="en-US" w:eastAsia="zh-CN"/>
        </w:rPr>
        <w:t>参考</w:t>
      </w:r>
      <w:r>
        <w:rPr>
          <w:rFonts w:hint="eastAsia" w:ascii="方正小标宋_GBK" w:eastAsia="方正小标宋_GBK"/>
          <w:b w:val="0"/>
          <w:bCs/>
          <w:color w:val="000000"/>
          <w:sz w:val="44"/>
          <w:szCs w:val="44"/>
        </w:rPr>
        <w:t>模板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楷体_GBK" w:hAnsi="hakuyoxingshu7000" w:eastAsia="方正楷体_GBK"/>
          <w:b w:val="0"/>
          <w:bCs/>
          <w:color w:val="000000"/>
          <w:sz w:val="32"/>
          <w:szCs w:val="32"/>
        </w:rPr>
      </w:pPr>
      <w:r>
        <w:rPr>
          <w:rFonts w:hint="eastAsia" w:ascii="方正楷体_GBK" w:hAnsi="hakuyoxingshu7000" w:eastAsia="方正楷体_GBK"/>
          <w:b w:val="0"/>
          <w:bCs/>
          <w:color w:val="000000"/>
          <w:sz w:val="32"/>
          <w:szCs w:val="32"/>
        </w:rPr>
        <w:t>（</w:t>
      </w:r>
      <w:r>
        <w:rPr>
          <w:rFonts w:hint="eastAsia" w:ascii="方正楷体_GBK" w:hAnsi="方正铁筋隶书繁体" w:eastAsia="方正楷体_GBK"/>
          <w:b w:val="0"/>
          <w:bCs/>
          <w:color w:val="000000"/>
          <w:sz w:val="32"/>
          <w:szCs w:val="32"/>
        </w:rPr>
        <w:t>企业与培训机构签订时使用，各企业可根据实际情况与合作培训机构约定其他事项）</w:t>
      </w:r>
    </w:p>
    <w:p>
      <w:pPr>
        <w:pStyle w:val="2"/>
        <w:spacing w:before="0" w:line="700" w:lineRule="exact"/>
        <w:ind w:left="0"/>
        <w:jc w:val="center"/>
        <w:rPr>
          <w:rFonts w:ascii="方正楷体_GBK" w:hAnsi="hakuyoxingshu7000" w:eastAsia="方正楷体_GBK"/>
          <w:b w:val="0"/>
          <w:bCs/>
          <w:color w:val="000000"/>
          <w:sz w:val="32"/>
          <w:szCs w:val="32"/>
        </w:rPr>
      </w:pP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甲方（企业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</w:rPr>
        <w:t>）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邮寄地址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法定代表人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联系方式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乙方（培训机构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</w:rPr>
        <w:t>）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邮寄地址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法定代表人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联系方式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</w:p>
    <w:p>
      <w:pPr>
        <w:pStyle w:val="2"/>
        <w:spacing w:before="0"/>
        <w:ind w:left="0" w:firstLine="632" w:firstLineChars="20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</w:rPr>
        <w:t>我市</w:t>
      </w: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企业新型学徒制</w:t>
      </w: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</w:rPr>
        <w:t>培训工作的有关通知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为创新企业技能人才培养模式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改革传统的学徒培养方式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充分发挥企校双方优势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加快企业技能人才培养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甲乙双方经友好协商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就合作开展企业新型学徒制培训工作达成如下协议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一</w:t>
      </w:r>
      <w:r>
        <w:rPr>
          <w:rFonts w:hint="eastAsia" w:ascii="方正黑体_GBK" w:hAnsi="宋体" w:eastAsia="方正黑体_GBK"/>
          <w:b w:val="0"/>
          <w:bCs/>
          <w:color w:val="000000"/>
          <w:sz w:val="32"/>
          <w:szCs w:val="32"/>
        </w:rPr>
        <w:t>、</w:t>
      </w: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合作原则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优势互补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资源共享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互惠多赢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共同发展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二、合作方式</w:t>
      </w:r>
    </w:p>
    <w:p>
      <w:pPr>
        <w:pStyle w:val="2"/>
        <w:spacing w:before="0"/>
        <w:ind w:left="0" w:firstLine="632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甲乙双方采取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</w:rPr>
        <w:t>“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企校合作、工学交替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</w:rPr>
        <w:t>”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的培养模式共同培训学徒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甲方主要通过导师带徒方式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乙方主要采取工学一体化培训方式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（各企业可根据实际情况与合作培训机构约定具体培训方式）</w:t>
      </w:r>
    </w:p>
    <w:p>
      <w:pPr>
        <w:pStyle w:val="2"/>
        <w:spacing w:before="0"/>
        <w:ind w:left="0" w:firstLine="632" w:firstLineChars="200"/>
        <w:jc w:val="left"/>
        <w:rPr>
          <w:rFonts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三、合作内容及期限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甲乙双方依据甲方需求共同组织实施培训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，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甲乙双方分别承担相应培训任务</w:t>
      </w:r>
      <w:r>
        <w:rPr>
          <w:rFonts w:hint="eastAsia" w:ascii="方正仿宋_GBK" w:hAnsi="Microsoft Yi Baiti" w:eastAsia="方正仿宋_GBK" w:cs="Microsoft Yi Baiti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培训计划如下：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076"/>
        <w:gridCol w:w="2076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Arial Unicode MS" w:eastAsia="方正黑体_GBK"/>
                <w:bCs/>
                <w:color w:val="000000"/>
                <w:sz w:val="28"/>
                <w:szCs w:val="28"/>
              </w:rPr>
              <w:t>培训职业</w:t>
            </w:r>
            <w:r>
              <w:rPr>
                <w:rFonts w:hint="eastAsia" w:ascii="方正黑体_GBK" w:hAnsi="Arial Unicode MS" w:eastAsia="方正黑体_GBK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Arial Unicode MS" w:eastAsia="方正黑体_GBK"/>
                <w:bCs/>
                <w:color w:val="000000"/>
                <w:sz w:val="28"/>
                <w:szCs w:val="28"/>
              </w:rPr>
              <w:t>工种</w:t>
            </w:r>
            <w:r>
              <w:rPr>
                <w:rFonts w:hint="eastAsia" w:ascii="方正黑体_GBK" w:hAnsi="hakuyoxingshu7000" w:eastAsia="方正黑体_GBK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Arial Unicode MS" w:eastAsia="方正黑体_GBK"/>
                <w:bCs/>
                <w:color w:val="000000"/>
                <w:sz w:val="28"/>
                <w:szCs w:val="28"/>
              </w:rPr>
              <w:t>培训等级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Arial Unicode MS" w:eastAsia="方正黑体_GBK"/>
                <w:bCs/>
                <w:color w:val="000000"/>
                <w:sz w:val="28"/>
                <w:szCs w:val="28"/>
              </w:rPr>
              <w:t>培训期限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方正黑体_GBK"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Arial Unicode MS" w:eastAsia="方正黑体_GBK"/>
                <w:bCs/>
                <w:color w:val="000000"/>
                <w:sz w:val="28"/>
                <w:szCs w:val="28"/>
              </w:rPr>
              <w:t>培训人数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593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 w:firstLine="632" w:firstLineChars="200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培训内容主要包括专业知识、操作技能、职业素养、工匠精神、法律常识、安全生产规范等。甲方侧重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 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等内容培训，乙方侧重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等内容培训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>（各企业可根据实际情况与合作培训机构约定具体培训内容）</w:t>
      </w:r>
    </w:p>
    <w:p>
      <w:pPr>
        <w:pStyle w:val="2"/>
        <w:spacing w:before="0"/>
        <w:ind w:left="0" w:firstLine="632" w:firstLineChars="200"/>
        <w:jc w:val="left"/>
        <w:rPr>
          <w:rFonts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四、培训费用</w:t>
      </w:r>
    </w:p>
    <w:p>
      <w:pPr>
        <w:pStyle w:val="2"/>
        <w:spacing w:before="0" w:beforeLines="0" w:afterLines="0"/>
        <w:ind w:left="0" w:firstLine="632" w:firstLineChars="200"/>
        <w:jc w:val="both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甲方依据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                   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标准向乙方支付培训费用，支付方式为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                   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支付时间为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                       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乙方负责向甲方提供行政事业性收费票据或税务发票（</w:t>
      </w:r>
      <w:r>
        <w:rPr>
          <w:rFonts w:hint="eastAsia" w:ascii="方正仿宋_GBK" w:eastAsia="方正仿宋_GBK" w:cs="Times New Roman"/>
          <w:b w:val="0"/>
          <w:bCs/>
          <w:color w:val="000000"/>
          <w:kern w:val="2"/>
          <w:sz w:val="32"/>
          <w:szCs w:val="32"/>
        </w:rPr>
        <w:t>无独立法人</w:t>
      </w:r>
      <w:r>
        <w:rPr>
          <w:rFonts w:hint="eastAsia" w:ascii="方正仿宋_GBK" w:eastAsia="方正仿宋_GBK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资格</w:t>
      </w:r>
      <w:r>
        <w:rPr>
          <w:rFonts w:hint="eastAsia" w:ascii="方正仿宋_GBK" w:eastAsia="方正仿宋_GBK" w:cs="Times New Roman"/>
          <w:b w:val="0"/>
          <w:bCs/>
          <w:color w:val="000000"/>
          <w:kern w:val="2"/>
          <w:sz w:val="32"/>
          <w:szCs w:val="32"/>
        </w:rPr>
        <w:t>的国有企业办职业院校、技工院校、企业职工培训中心无需出具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）等符合财务管理规定的费用凭证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五、甲方责任与义务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甲方负责联合乙方共同确定学徒培训方案和计划，明确培训方式、内容、期限等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甲方应与每位学徒签订培养协议，明确培训目标、内容、期限和质量考核标准等内容，支付学徒工资，保证学徒在企业工作的同时，能够由培训机构开展系统的、有针对性的专业知识学习和相关技能训练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甲方负责选拔优秀的高技能人才担任学徒的企业导师，并对企业导师的教学过程、教学质量进行督导评价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甲方负责对学徒进行企业培训期间的组织管理、考核评价等，并履行安全管理职责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六、乙方责任与义务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乙方负责配合甲方确定学徒培训方案和计划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 w:beforeLines="0" w:afterLines="0"/>
        <w:ind w:left="0" w:firstLine="632" w:firstLineChars="200"/>
        <w:jc w:val="both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乙方要结合甲方生产和学徒工作生活实际，采取弹性学制，建立和完善适合弹性学制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eastAsia="zh-CN"/>
        </w:rPr>
        <w:t>或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学分制的教学质量评价体系和考核制度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 w:beforeLines="0" w:afterLines="0"/>
        <w:ind w:left="0" w:firstLine="632" w:firstLineChars="200"/>
        <w:jc w:val="both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乙方应为学徒安排具备相应专业知识和操作技能水平的指导教师，按照培训分工，负责承担学徒的相关教学任务，强化理论知识学习，做好与企业实践技能的衔接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乙方按照培训计划和培训分工，负责学徒在相关培训期间的组织管理、考核评价等，并履行安全管理职责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5.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eastAsia="zh-CN"/>
        </w:rPr>
        <w:t>（技工院校类型）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负责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eastAsia="zh-CN"/>
        </w:rPr>
        <w:t>为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符合条件的学徒进行非全日制学籍注册。</w:t>
      </w:r>
    </w:p>
    <w:p>
      <w:pPr>
        <w:pStyle w:val="2"/>
        <w:spacing w:before="0"/>
        <w:ind w:left="0" w:firstLine="632" w:firstLineChars="200"/>
        <w:jc w:val="left"/>
        <w:rPr>
          <w:rFonts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七、附则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双方因协议的解释或履行发生争议，由双方协商解决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协商不成，任何一方可向当地人民法院提起诉讼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本协议的变更、续签及其他未尽事宜，由双方另行商定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本协议自双方签字盖章后生效，有效期为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年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spacing w:before="0"/>
        <w:ind w:left="0" w:firstLine="632" w:firstLineChars="2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本协议一式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份，甲方执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份、乙方执</w:t>
      </w:r>
      <w:r>
        <w:rPr>
          <w:rFonts w:hint="eastAsia" w:ascii="方正仿宋_GBK" w:hAnsi="Times New Roman" w:eastAsia="方正仿宋_GBK"/>
          <w:b w:val="0"/>
          <w:bCs/>
          <w:color w:val="000000"/>
          <w:sz w:val="32"/>
          <w:szCs w:val="32"/>
          <w:u w:val="single" w:color="231F20"/>
        </w:rPr>
        <w:t xml:space="preserve">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份为凭</w:t>
      </w:r>
      <w:r>
        <w:rPr>
          <w:rFonts w:ascii="方正仿宋_GBK" w:eastAsia="方正仿宋_GBK"/>
          <w:b w:val="0"/>
          <w:bCs/>
          <w:color w:val="000000"/>
          <w:sz w:val="32"/>
          <w:szCs w:val="32"/>
        </w:rPr>
        <w:t>。</w:t>
      </w:r>
    </w:p>
    <w:p>
      <w:pPr>
        <w:pStyle w:val="2"/>
        <w:kinsoku w:val="0"/>
        <w:overflowPunct w:val="0"/>
        <w:spacing w:before="0"/>
        <w:ind w:left="0"/>
        <w:jc w:val="left"/>
        <w:rPr>
          <w:rFonts w:ascii="hakuyoxingshu7000" w:hAnsi="hakuyoxingshu7000" w:eastAsia="hakuyoxingshu7000"/>
          <w:b w:val="0"/>
          <w:bCs/>
          <w:color w:val="000000"/>
          <w:sz w:val="26"/>
        </w:rPr>
      </w:pPr>
    </w:p>
    <w:p>
      <w:pPr>
        <w:pStyle w:val="2"/>
        <w:kinsoku w:val="0"/>
        <w:overflowPunct w:val="0"/>
        <w:spacing w:before="0"/>
        <w:ind w:left="0"/>
        <w:jc w:val="left"/>
        <w:rPr>
          <w:rFonts w:ascii="hakuyoxingshu7000" w:hAnsi="hakuyoxingshu7000" w:eastAsia="hakuyoxingshu7000"/>
          <w:b w:val="0"/>
          <w:bCs/>
          <w:color w:val="000000"/>
          <w:sz w:val="26"/>
        </w:rPr>
      </w:pPr>
    </w:p>
    <w:p>
      <w:pPr>
        <w:pStyle w:val="2"/>
        <w:kinsoku w:val="0"/>
        <w:overflowPunct w:val="0"/>
        <w:spacing w:before="0"/>
        <w:ind w:left="0"/>
        <w:jc w:val="left"/>
        <w:rPr>
          <w:rFonts w:ascii="hakuyoxingshu7000" w:hAnsi="hakuyoxingshu7000" w:eastAsia="hakuyoxingshu7000"/>
          <w:b w:val="0"/>
          <w:bCs/>
          <w:color w:val="000000"/>
          <w:sz w:val="26"/>
        </w:rPr>
      </w:pPr>
    </w:p>
    <w:p>
      <w:pPr>
        <w:pStyle w:val="2"/>
        <w:kinsoku w:val="0"/>
        <w:overflowPunct w:val="0"/>
        <w:spacing w:before="13"/>
        <w:ind w:left="0"/>
        <w:jc w:val="left"/>
        <w:rPr>
          <w:rFonts w:ascii="hakuyoxingshu7000" w:hAnsi="hakuyoxingshu7000" w:eastAsia="hakuyoxingshu7000"/>
          <w:b w:val="0"/>
          <w:bCs/>
          <w:color w:val="000000"/>
        </w:rPr>
      </w:pPr>
    </w:p>
    <w:p>
      <w:pPr>
        <w:pStyle w:val="2"/>
        <w:tabs>
          <w:tab w:val="left" w:pos="4962"/>
        </w:tabs>
        <w:kinsoku w:val="0"/>
        <w:overflowPunct w:val="0"/>
        <w:spacing w:before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甲方（盖章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</w:rPr>
        <w:t>）: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乙方（盖章</w:t>
      </w:r>
      <w:r>
        <w:rPr>
          <w:rFonts w:hint="eastAsia" w:ascii="方正仿宋_GBK" w:hAnsi="hakuyoxingshu7000" w:eastAsia="方正仿宋_GBK"/>
          <w:b w:val="0"/>
          <w:bCs/>
          <w:color w:val="000000"/>
          <w:sz w:val="32"/>
          <w:szCs w:val="32"/>
        </w:rPr>
        <w:t>）:</w:t>
      </w:r>
    </w:p>
    <w:p>
      <w:pPr>
        <w:pStyle w:val="2"/>
        <w:tabs>
          <w:tab w:val="left" w:pos="4962"/>
        </w:tabs>
        <w:kinsoku w:val="0"/>
        <w:overflowPunct w:val="0"/>
        <w:ind w:left="0"/>
        <w:jc w:val="left"/>
        <w:rPr>
          <w:rFonts w:hint="eastAsia" w:ascii="方正仿宋_GBK" w:eastAsia="方正仿宋_GBK"/>
          <w:b w:val="0"/>
          <w:bCs/>
          <w:color w:val="000000"/>
          <w:spacing w:val="-11"/>
          <w:w w:val="95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pacing w:val="-11"/>
          <w:w w:val="95"/>
          <w:sz w:val="32"/>
          <w:szCs w:val="32"/>
        </w:rPr>
        <w:t>法定代表人（或授权代表）签字</w:t>
      </w:r>
      <w:r>
        <w:rPr>
          <w:rFonts w:hint="eastAsia" w:ascii="方正仿宋_GBK" w:hAnsi="Times New Roman" w:eastAsia="方正仿宋_GBK"/>
          <w:b w:val="0"/>
          <w:bCs/>
          <w:color w:val="000000"/>
          <w:spacing w:val="-11"/>
          <w:w w:val="95"/>
          <w:sz w:val="32"/>
          <w:szCs w:val="32"/>
        </w:rPr>
        <w:t xml:space="preserve">: </w:t>
      </w:r>
      <w:r>
        <w:rPr>
          <w:rFonts w:hint="eastAsia" w:ascii="方正仿宋_GBK" w:eastAsia="方正仿宋_GBK"/>
          <w:b w:val="0"/>
          <w:bCs/>
          <w:color w:val="000000"/>
          <w:spacing w:val="-11"/>
          <w:w w:val="95"/>
          <w:sz w:val="32"/>
          <w:szCs w:val="32"/>
        </w:rPr>
        <w:t xml:space="preserve">    法定代表人（或授权代表）签字: </w:t>
      </w:r>
    </w:p>
    <w:p>
      <w:pPr>
        <w:pStyle w:val="2"/>
        <w:tabs>
          <w:tab w:val="left" w:pos="5085"/>
        </w:tabs>
        <w:kinsoku w:val="0"/>
        <w:overflowPunct w:val="0"/>
        <w:ind w:left="0"/>
        <w:jc w:val="left"/>
        <w:rPr>
          <w:rFonts w:ascii="方正仿宋_GBK" w:hAnsi="hakuyoxingshu7000" w:eastAsia="方正仿宋_GBK"/>
          <w:b w:val="0"/>
          <w:bCs/>
          <w:color w:val="000000"/>
          <w:spacing w:val="-40"/>
          <w:w w:val="90"/>
          <w:sz w:val="32"/>
          <w:szCs w:val="32"/>
        </w:rPr>
      </w:pPr>
    </w:p>
    <w:p>
      <w:pPr>
        <w:pStyle w:val="2"/>
        <w:kinsoku w:val="0"/>
        <w:overflowPunct w:val="0"/>
        <w:spacing w:before="0"/>
        <w:ind w:left="0" w:firstLine="1264" w:firstLineChars="400"/>
        <w:jc w:val="left"/>
        <w:rPr>
          <w:rFonts w:ascii="方正仿宋_GBK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>年  月  日</w:t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ab/>
      </w:r>
      <w:r>
        <w:rPr>
          <w:rFonts w:hint="eastAsia" w:ascii="方正仿宋_GBK" w:eastAsia="方正仿宋_GBK"/>
          <w:b w:val="0"/>
          <w:bCs/>
          <w:color w:val="000000"/>
          <w:sz w:val="32"/>
          <w:szCs w:val="32"/>
        </w:rPr>
        <w:t xml:space="preserve">                  年  月  日</w:t>
      </w:r>
    </w:p>
    <w:p>
      <w:pPr>
        <w:pStyle w:val="2"/>
        <w:spacing w:before="0"/>
        <w:ind w:left="0"/>
        <w:rPr>
          <w:rFonts w:ascii="方正仿宋_GBK" w:eastAsia="方正仿宋_GBK"/>
          <w:b w:val="0"/>
          <w:bCs/>
          <w:color w:val="000000"/>
          <w:sz w:val="32"/>
          <w:szCs w:val="32"/>
        </w:rPr>
      </w:pPr>
    </w:p>
    <w:p>
      <w:pPr>
        <w:pStyle w:val="2"/>
        <w:spacing w:before="0"/>
        <w:ind w:left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sectPr>
          <w:pgSz w:w="11906" w:h="16838"/>
          <w:pgMar w:top="2098" w:right="1474" w:bottom="1985" w:left="1588" w:header="1701" w:footer="1134" w:gutter="0"/>
          <w:pgNumType w:fmt="numberInDash"/>
          <w:cols w:space="720" w:num="1"/>
          <w:docGrid w:type="linesAndChars" w:linePitch="579" w:charSpace="-849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方正铁筋隶书繁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48450E5F"/>
    <w:rsid w:val="070D5DF5"/>
    <w:rsid w:val="43123DBE"/>
    <w:rsid w:val="48450E5F"/>
    <w:rsid w:val="769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b/>
      <w:color w:val="FF0000"/>
      <w:sz w:val="4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1293</Words>
  <Characters>1306</Characters>
  <Lines>0</Lines>
  <Paragraphs>0</Paragraphs>
  <TotalTime>0</TotalTime>
  <ScaleCrop>false</ScaleCrop>
  <LinksUpToDate>false</LinksUpToDate>
  <CharactersWithSpaces>1473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2022-07-08T08:56:00Z</dcterms:created>
  <dc:creator>Administrator</dc:creator>
  <cp:lastModifiedBy>Administrator</cp:lastModifiedBy>
  <dcterms:modified xsi:type="dcterms:W3CDTF">2022-07-08T08:58:43Z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21D7BBCC4DAB45268E79AF67116A17A4</vt:lpwstr>
  </property>
</Properties>
</file>