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adjustRightInd w:val="0"/>
        <w:snapToGrid w:val="0"/>
        <w:spacing w:line="578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市级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“专精特新”中小企业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培育条件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left="0" w:leftChars="0" w:right="0" w:rightChars="0" w:firstLine="640" w:firstLineChars="200"/>
        <w:textAlignment w:val="auto"/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同时满足以下条件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在中华人民共和国境内(不包括港、澳、台地区)工商注册登记、具有独立法人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资格，符合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《中小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企业划型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标准规定》的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中型、小型和微型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拥有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与主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业务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的自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品牌。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特定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时问达到2年及以上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企业上年度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研发费用总额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不低于150万元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且营业收入总额及研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发费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用总额占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营业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收入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总额比例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符合以下条件之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一：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上年度营业收入总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在5000万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上的企业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，比例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不低于3%。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2.上年度营业收入总额在1000万元及以下的企业,比例不低于20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%，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同时满足近2年内新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股权融资总额(合格机构投资者的实缴额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下同)2000万元及以上。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评价指标综合评分不低于60分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专业化指标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满分20分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企业年度主营业务收入占营业收入比例(满分10分)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 .80%及以上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B .70%-80%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.60%-70%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.60%以下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企业从事特定细分市场年限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满分10分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每满1年得1分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最高不超过10分。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精细化指标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满分20分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企业主导产品竞争力水平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满分15分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 .企业主营业务利润率超过15%及以上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或年度出口总额800万元及以上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15分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B .企业主营业务利润率超过10%及以上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或年度出口总额超过500万元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C .企业主营业务利润率超过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%及以上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或年度出口总额超过300万元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D .企业主营业务利润率或年度出口总额不在上述范園内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企业数字化转型水平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满分5分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 .三级及以上(5分)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B .二级(3分)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.一级(0分)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特色化指标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满分15分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暂未确定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创新型指标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满分25分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与企业主导产品有关的有效知识产权数量(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分15分)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A . I 类1项及以上(15分) 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B . I 类4项及以上(10分)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. Il 类1-4项(5分)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D .无(0分)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【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Il 类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bCs/>
          <w:kern w:val="44"/>
          <w:sz w:val="24"/>
          <w:szCs w:val="24"/>
          <w:vertAlign w:val="baseline"/>
          <w:lang w:val="en-US" w:eastAsia="zh-CN" w:bidi="ar"/>
        </w:rPr>
        <w:t>实用新型</w:t>
      </w:r>
      <w:r>
        <w:rPr>
          <w:rFonts w:hint="eastAsia" w:ascii="Times New Roman" w:hAnsi="Times New Roman" w:eastAsia="方正黑体_GBK" w:cs="Times New Roman"/>
          <w:b w:val="0"/>
          <w:bCs/>
          <w:kern w:val="44"/>
          <w:sz w:val="24"/>
          <w:szCs w:val="24"/>
          <w:vertAlign w:val="baseline"/>
          <w:lang w:val="en-US" w:eastAsia="zh-CN" w:bidi="ar"/>
        </w:rPr>
        <w:t>专利</w:t>
      </w:r>
      <w:r>
        <w:rPr>
          <w:rFonts w:hint="default" w:ascii="Times New Roman" w:hAnsi="Times New Roman" w:eastAsia="方正黑体_GBK" w:cs="Times New Roman"/>
          <w:b w:val="0"/>
          <w:bCs/>
          <w:kern w:val="44"/>
          <w:sz w:val="24"/>
          <w:szCs w:val="24"/>
          <w:vertAlign w:val="baseline"/>
          <w:lang w:val="en-US" w:eastAsia="zh-CN" w:bidi="ar"/>
        </w:rPr>
        <w:t>、外观</w:t>
      </w:r>
      <w:r>
        <w:rPr>
          <w:rFonts w:hint="eastAsia" w:ascii="Times New Roman" w:hAnsi="Times New Roman" w:eastAsia="方正黑体_GBK" w:cs="Times New Roman"/>
          <w:b w:val="0"/>
          <w:bCs/>
          <w:kern w:val="44"/>
          <w:sz w:val="24"/>
          <w:szCs w:val="24"/>
          <w:vertAlign w:val="baseline"/>
          <w:lang w:val="en-US" w:eastAsia="zh-CN" w:bidi="ar"/>
        </w:rPr>
        <w:t>设计专利</w:t>
      </w:r>
      <w:r>
        <w:rPr>
          <w:rFonts w:hint="default" w:ascii="Times New Roman" w:hAnsi="Times New Roman" w:eastAsia="方正黑体_GBK" w:cs="Times New Roman"/>
          <w:b w:val="0"/>
          <w:bCs/>
          <w:kern w:val="44"/>
          <w:sz w:val="24"/>
          <w:szCs w:val="24"/>
          <w:vertAlign w:val="baseline"/>
          <w:lang w:val="en-US" w:eastAsia="zh-CN" w:bidi="ar"/>
        </w:rPr>
        <w:t>、</w:t>
      </w:r>
      <w:r>
        <w:rPr>
          <w:rFonts w:hint="eastAsia" w:ascii="Times New Roman" w:hAnsi="Times New Roman" w:eastAsia="方正黑体_GBK" w:cs="Times New Roman"/>
          <w:b w:val="0"/>
          <w:bCs/>
          <w:kern w:val="44"/>
          <w:sz w:val="24"/>
          <w:szCs w:val="24"/>
          <w:vertAlign w:val="baseline"/>
          <w:lang w:val="en-US" w:eastAsia="zh-CN" w:bidi="ar"/>
        </w:rPr>
        <w:t>软件著作权（不含商标）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】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研发人员占比(满分5分)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A .20%及以上(10分)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B .10%-20%(5分) 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C .5%-10%(3分)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D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.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以下(0分)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企业所属领域(满分5分)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在产业链供应链关键环节及关键领域“补短板”“锻长板“填空白”取得实际成效(5分)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B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属于战略性新兴产业或工业“四基”领域(3分) 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C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以上均不属于(0分)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经营成效指标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满分20分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近2年主营业务收入或净利润平均增长率(取两者中最大值)(10分)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 .10%以上(10分)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B .5%%-10%(6分) 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.0%-5%(3分)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 .0%以下(0分)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加权平均净资产收益率(5分) 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 .59%以上(5分)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B .3%-5%(3分)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C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.3%以下(0分)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企业资产负债率(5分) 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 .70%及以下(5分)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B .70%-80%(3分)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 .80%以上(0分)</w:t>
      </w:r>
    </w:p>
    <w:p>
      <w:pPr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符合下列条件中的一项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可直接视同为综合评分不低于60分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企业近两年实际新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股权融资总额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000万元及以上。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企业近两年研发费用总额均在1000万元及以上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企业近两年主持制(修)订1项及以上国际标准、国家标准、行业标准。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企业近两年获得过省级及以上科技奖励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并在获奖单位中排在前三名。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自2021年以来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企业进入“创客中国”中小企业创新创业大赛全国500强企业组名单。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企业或其主导产品属于国家级非物质文化遗产、中华老字号名录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A2DB934-A692-4413-9563-45252638C43D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ADF75A-907C-4D04-9466-36744922486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5489CB-7CE2-4655-99A4-590F9F574BB3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43E73EDC"/>
    <w:rsid w:val="4E8E56A9"/>
    <w:rsid w:val="4ED856A4"/>
    <w:rsid w:val="4FD77F05"/>
    <w:rsid w:val="512615A3"/>
    <w:rsid w:val="5F7C642D"/>
    <w:rsid w:val="63792DDC"/>
    <w:rsid w:val="6C4754D3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