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ascii="方正黑体_GBK" w:hAnsi="方正黑体_GBK" w:eastAsia="方正黑体_GBK" w:cs="方正黑体_GBK"/>
          <w:spacing w:val="-6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</w:rPr>
        <w:t>附件</w:t>
      </w:r>
    </w:p>
    <w:p>
      <w:pPr>
        <w:pStyle w:val="2"/>
        <w:jc w:val="center"/>
        <w:rPr>
          <w:rFonts w:hint="eastAsia" w:ascii="方正仿宋_GBK" w:hAnsi="方正仿宋_GBK" w:eastAsia="方正仿宋_GBK" w:cs="方正仿宋_GBK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重庆市商务发展专项资金支持商贸服务业发展政策清单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556"/>
        <w:gridCol w:w="7"/>
        <w:gridCol w:w="6393"/>
        <w:gridCol w:w="3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948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方正仿宋_GBK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bCs/>
                <w:spacing w:val="-6"/>
                <w:sz w:val="24"/>
                <w:szCs w:val="24"/>
              </w:rPr>
              <w:t>序号</w:t>
            </w: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方正仿宋_GBK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bCs/>
                <w:spacing w:val="-6"/>
                <w:sz w:val="24"/>
                <w:szCs w:val="24"/>
              </w:rPr>
              <w:t>政策类别</w:t>
            </w:r>
          </w:p>
        </w:tc>
        <w:tc>
          <w:tcPr>
            <w:tcW w:w="6393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方正仿宋_GBK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bCs/>
                <w:spacing w:val="-6"/>
                <w:sz w:val="24"/>
                <w:szCs w:val="24"/>
              </w:rPr>
              <w:t>支持内容</w:t>
            </w:r>
          </w:p>
        </w:tc>
        <w:tc>
          <w:tcPr>
            <w:tcW w:w="3925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方正仿宋_GBK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bCs/>
                <w:spacing w:val="-6"/>
                <w:sz w:val="24"/>
                <w:szCs w:val="24"/>
              </w:rPr>
              <w:t>支出标准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8" w:type="dxa"/>
            <w:noWrap w:val="0"/>
            <w:vAlign w:val="center"/>
          </w:tcPr>
          <w:p>
            <w:pPr>
              <w:pStyle w:val="2"/>
              <w:jc w:val="center"/>
              <w:rPr>
                <w:rFonts w:ascii="黑体" w:hAnsi="黑体" w:eastAsia="黑体"/>
                <w:spacing w:val="-6"/>
                <w:sz w:val="24"/>
                <w:szCs w:val="24"/>
              </w:rPr>
            </w:pPr>
            <w:r>
              <w:rPr>
                <w:rFonts w:ascii="黑体" w:hAnsi="黑体" w:eastAsia="黑体"/>
                <w:spacing w:val="-6"/>
                <w:sz w:val="24"/>
                <w:szCs w:val="24"/>
              </w:rPr>
              <w:t>一</w:t>
            </w:r>
          </w:p>
        </w:tc>
        <w:tc>
          <w:tcPr>
            <w:tcW w:w="12881" w:type="dxa"/>
            <w:gridSpan w:val="4"/>
            <w:noWrap w:val="0"/>
            <w:vAlign w:val="center"/>
          </w:tcPr>
          <w:p>
            <w:pPr>
              <w:pStyle w:val="2"/>
              <w:jc w:val="both"/>
              <w:rPr>
                <w:rFonts w:ascii="黑体" w:hAnsi="黑体" w:eastAsia="黑体"/>
                <w:spacing w:val="-6"/>
                <w:sz w:val="24"/>
                <w:szCs w:val="24"/>
              </w:rPr>
            </w:pPr>
            <w:r>
              <w:rPr>
                <w:rFonts w:ascii="黑体" w:hAnsi="黑体" w:eastAsia="黑体"/>
                <w:spacing w:val="-6"/>
                <w:sz w:val="24"/>
                <w:szCs w:val="24"/>
              </w:rPr>
              <w:t>奖励类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48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1</w:t>
            </w: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招商引资项目</w:t>
            </w:r>
          </w:p>
        </w:tc>
        <w:tc>
          <w:tcPr>
            <w:tcW w:w="6393" w:type="dxa"/>
            <w:noWrap w:val="0"/>
            <w:vAlign w:val="center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对</w:t>
            </w: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符合支持条件的招商引资企业（项目），根据其经济贡献、注册资本、实际到位资金、落户年限等情况给予专项资金奖励。</w:t>
            </w:r>
          </w:p>
        </w:tc>
        <w:tc>
          <w:tcPr>
            <w:tcW w:w="3925" w:type="dxa"/>
            <w:noWrap w:val="0"/>
            <w:vAlign w:val="center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不超过500万元/个。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948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2</w:t>
            </w: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示范（试点）创建项目</w:t>
            </w:r>
          </w:p>
        </w:tc>
        <w:tc>
          <w:tcPr>
            <w:tcW w:w="6393" w:type="dxa"/>
            <w:noWrap w:val="0"/>
            <w:vAlign w:val="center"/>
          </w:tcPr>
          <w:p>
            <w:pPr>
              <w:pStyle w:val="2"/>
              <w:spacing w:line="280" w:lineRule="exact"/>
              <w:jc w:val="both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对符合支持条件的示范（试点）创建项目（包括中央商务区、</w:t>
            </w: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智慧</w:t>
            </w: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商圈、步行街、商业街区、</w:t>
            </w: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夜间经济、</w:t>
            </w: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农贸市场、菜市场、无废细胞、绿色商场、</w:t>
            </w: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绿色饭店、美食街区、美食地标、钻级酒家、星级农家乐、</w:t>
            </w: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服务业</w:t>
            </w: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集聚</w:t>
            </w: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发展、社区商业</w:t>
            </w: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以及</w:t>
            </w: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国际消费中心城区、区域消费中心城市、商旅文融合发展城市</w:t>
            </w: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项目</w:t>
            </w: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等）给予一次性专项资金奖励，其中，一档为市委、市政府，国家主管部门及以上层级确定的</w:t>
            </w: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商务领域</w:t>
            </w: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示范（试点）创建项目，二档为市级主管部门确定的</w:t>
            </w: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商务领域</w:t>
            </w: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示范（试点）创建项目。</w:t>
            </w:r>
          </w:p>
        </w:tc>
        <w:tc>
          <w:tcPr>
            <w:tcW w:w="3925" w:type="dxa"/>
            <w:noWrap w:val="0"/>
            <w:vAlign w:val="center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一档：不超过100万元/个。</w:t>
            </w:r>
          </w:p>
          <w:p>
            <w:pPr>
              <w:pStyle w:val="2"/>
              <w:jc w:val="both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二档：不超过50万元/个。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948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3</w:t>
            </w: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主体培育项目</w:t>
            </w:r>
          </w:p>
        </w:tc>
        <w:tc>
          <w:tcPr>
            <w:tcW w:w="6393" w:type="dxa"/>
            <w:noWrap w:val="0"/>
            <w:vAlign w:val="center"/>
          </w:tcPr>
          <w:p>
            <w:pPr>
              <w:pStyle w:val="2"/>
              <w:spacing w:line="280" w:lineRule="exact"/>
              <w:jc w:val="both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对符合商务产业发展规划、政策导向，完成设定商务发展指标（包括销售额、交易额、营业额、纳税额等）的生产经营主体择优给予专项资金奖励，其中，一档为完成市委、市政府</w:t>
            </w: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，</w:t>
            </w: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国家主管部门及以上层级所设定</w:t>
            </w: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商务</w:t>
            </w: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发展指标的主体培育项目，二档为完成市级主管部门所设定</w:t>
            </w: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商务</w:t>
            </w: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发展指标的主体培育项目。</w:t>
            </w:r>
          </w:p>
        </w:tc>
        <w:tc>
          <w:tcPr>
            <w:tcW w:w="3925" w:type="dxa"/>
            <w:noWrap w:val="0"/>
            <w:vAlign w:val="center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一档：不超过50万元/个。</w:t>
            </w:r>
          </w:p>
          <w:p>
            <w:pPr>
              <w:pStyle w:val="2"/>
              <w:jc w:val="both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二档：不超过30元/个。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948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4</w:t>
            </w: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鼓励销售项目</w:t>
            </w:r>
          </w:p>
        </w:tc>
        <w:tc>
          <w:tcPr>
            <w:tcW w:w="6393" w:type="dxa"/>
            <w:noWrap w:val="0"/>
            <w:vAlign w:val="center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对中共中央、国务院，市委、市政府和国家主管部门文件（含以办公厅名义印发的文件）中鼓励、支持销售的产品（如汽车、家电等），根据市级财政可承受能力给予专项资金奖励。</w:t>
            </w:r>
          </w:p>
        </w:tc>
        <w:tc>
          <w:tcPr>
            <w:tcW w:w="3925" w:type="dxa"/>
            <w:noWrap w:val="0"/>
            <w:vAlign w:val="center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不超过产品销售价格的5%。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8" w:type="dxa"/>
            <w:noWrap w:val="0"/>
            <w:vAlign w:val="center"/>
          </w:tcPr>
          <w:p>
            <w:pPr>
              <w:pStyle w:val="2"/>
              <w:jc w:val="center"/>
              <w:rPr>
                <w:rFonts w:ascii="黑体" w:hAnsi="黑体" w:eastAsia="黑体"/>
                <w:spacing w:val="-6"/>
                <w:sz w:val="24"/>
                <w:szCs w:val="24"/>
              </w:rPr>
            </w:pPr>
            <w:r>
              <w:rPr>
                <w:rFonts w:ascii="黑体" w:hAnsi="黑体" w:eastAsia="黑体"/>
                <w:spacing w:val="-6"/>
                <w:sz w:val="24"/>
                <w:szCs w:val="24"/>
              </w:rPr>
              <w:t>二</w:t>
            </w:r>
          </w:p>
        </w:tc>
        <w:tc>
          <w:tcPr>
            <w:tcW w:w="12881" w:type="dxa"/>
            <w:gridSpan w:val="4"/>
            <w:noWrap w:val="0"/>
            <w:vAlign w:val="center"/>
          </w:tcPr>
          <w:p>
            <w:pPr>
              <w:pStyle w:val="2"/>
              <w:jc w:val="both"/>
              <w:rPr>
                <w:rFonts w:ascii="黑体" w:hAnsi="黑体" w:eastAsia="黑体"/>
                <w:spacing w:val="-6"/>
                <w:sz w:val="24"/>
                <w:szCs w:val="24"/>
              </w:rPr>
            </w:pPr>
            <w:r>
              <w:rPr>
                <w:rFonts w:ascii="黑体" w:hAnsi="黑体" w:eastAsia="黑体"/>
                <w:spacing w:val="-6"/>
                <w:sz w:val="24"/>
                <w:szCs w:val="24"/>
              </w:rPr>
              <w:t>费用补助类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948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5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建设投资项目</w:t>
            </w:r>
          </w:p>
        </w:tc>
        <w:tc>
          <w:tcPr>
            <w:tcW w:w="6400" w:type="dxa"/>
            <w:gridSpan w:val="2"/>
            <w:noWrap w:val="0"/>
            <w:vAlign w:val="center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对符合支持条件的建设投资项目（包括商贸流通设施建设，设施设备购置，信息化建设，经营模式创新转型升级，商业环境整治改造，生产经营场所搬迁、租赁、购置等）给予专项资金补助，其中，一档为市场主导投资项目，二档为政府主导投资项目。</w:t>
            </w:r>
          </w:p>
        </w:tc>
        <w:tc>
          <w:tcPr>
            <w:tcW w:w="3925" w:type="dxa"/>
            <w:noWrap w:val="0"/>
            <w:vAlign w:val="center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一档：不超过实际有效投资的40%。</w:t>
            </w:r>
          </w:p>
          <w:p>
            <w:pPr>
              <w:pStyle w:val="2"/>
              <w:jc w:val="both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二档：按</w:t>
            </w: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一事一议</w:t>
            </w: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方式确定。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948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6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保供应急项目</w:t>
            </w:r>
          </w:p>
        </w:tc>
        <w:tc>
          <w:tcPr>
            <w:tcW w:w="6400" w:type="dxa"/>
            <w:gridSpan w:val="2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对承储企业储备重要生活物资给予专项资金补助。</w:t>
            </w:r>
          </w:p>
        </w:tc>
        <w:tc>
          <w:tcPr>
            <w:tcW w:w="3925" w:type="dxa"/>
            <w:noWrap w:val="0"/>
            <w:vAlign w:val="center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1. 食糖、应急物资、蔬菜储备：当年产品价值的10%。</w:t>
            </w:r>
          </w:p>
          <w:p>
            <w:pPr>
              <w:pStyle w:val="2"/>
              <w:jc w:val="both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2. 猪肉储备：以280元/吨.月为基数，根据物价波动情况适时调整，浮动比率原则上不超过上年度支出标准的10%。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948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7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会展活动项目</w:t>
            </w:r>
          </w:p>
        </w:tc>
        <w:tc>
          <w:tcPr>
            <w:tcW w:w="6400" w:type="dxa"/>
            <w:gridSpan w:val="2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对符合支持条件的</w:t>
            </w: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商务</w:t>
            </w: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会展活动项目给予专项资金补助，其中，一档为以市委、市政府，国家主管部门及以上层级名义主办的</w:t>
            </w: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商务</w:t>
            </w: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会展活动；二档为以</w:t>
            </w: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市级主管部门</w:t>
            </w: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名义主办的</w:t>
            </w: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商务</w:t>
            </w: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会展活动；三档为其它单位主办、</w:t>
            </w: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市级主管部门</w:t>
            </w: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支持的政府主导</w:t>
            </w: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商务</w:t>
            </w: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会展活动。</w:t>
            </w:r>
          </w:p>
        </w:tc>
        <w:tc>
          <w:tcPr>
            <w:tcW w:w="3925" w:type="dxa"/>
            <w:noWrap w:val="0"/>
            <w:vAlign w:val="center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一档：按</w:t>
            </w: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一事一议</w:t>
            </w: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方式确定。</w:t>
            </w:r>
          </w:p>
          <w:p>
            <w:pPr>
              <w:pStyle w:val="2"/>
              <w:jc w:val="both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二档：</w:t>
            </w: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不超过</w:t>
            </w: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300</w:t>
            </w: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万元</w:t>
            </w: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。</w:t>
            </w:r>
          </w:p>
          <w:p>
            <w:pPr>
              <w:pStyle w:val="2"/>
              <w:jc w:val="both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三档：不超过实际发生费用的50%，最高100万元/个。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948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8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统计监测项目</w:t>
            </w:r>
          </w:p>
        </w:tc>
        <w:tc>
          <w:tcPr>
            <w:tcW w:w="6400" w:type="dxa"/>
            <w:gridSpan w:val="2"/>
            <w:noWrap w:val="0"/>
            <w:vAlign w:val="center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对</w:t>
            </w: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市级主管部门</w:t>
            </w: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开展的</w:t>
            </w: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商务</w:t>
            </w: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统计监测工作按实际工作量给予资金支持。</w:t>
            </w:r>
          </w:p>
        </w:tc>
        <w:tc>
          <w:tcPr>
            <w:tcW w:w="3925" w:type="dxa"/>
            <w:noWrap w:val="0"/>
            <w:vAlign w:val="center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1. 样本企业数据</w:t>
            </w: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汇总</w:t>
            </w: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报送：不超过125元/次。</w:t>
            </w:r>
          </w:p>
          <w:p>
            <w:pPr>
              <w:pStyle w:val="2"/>
              <w:jc w:val="both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2. 节假日（应急）数据</w:t>
            </w: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汇总</w:t>
            </w: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报送：不超过1万元/次。</w:t>
            </w:r>
          </w:p>
          <w:p>
            <w:pPr>
              <w:pStyle w:val="2"/>
              <w:jc w:val="both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3. 数据定期汇总发布：不超过4万元/期。</w:t>
            </w:r>
          </w:p>
          <w:p>
            <w:pPr>
              <w:pStyle w:val="2"/>
              <w:jc w:val="both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4. 行业年度发展报告：不超过3万元/个。</w:t>
            </w:r>
          </w:p>
          <w:p>
            <w:pPr>
              <w:pStyle w:val="2"/>
              <w:jc w:val="both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5. 单个行业类别统计监测：不超过50万元/年。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exact"/>
        </w:trPr>
        <w:tc>
          <w:tcPr>
            <w:tcW w:w="948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9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公共服务项目</w:t>
            </w:r>
          </w:p>
        </w:tc>
        <w:tc>
          <w:tcPr>
            <w:tcW w:w="6400" w:type="dxa"/>
            <w:gridSpan w:val="2"/>
            <w:noWrap w:val="0"/>
            <w:vAlign w:val="center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对符合支持条件的</w:t>
            </w: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  <w:lang w:eastAsia="zh-CN"/>
              </w:rPr>
              <w:t>商务领域</w:t>
            </w: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公共服务类项目（包括技能培训提升、制定或修订行业标准、评选行业品牌、推动交流合作、开展商务宣传、产业科技创新和技术研发、推广应用先进技术和工具、培育引进新品种、病虫灾害监测防治等）给予专项资金支持</w:t>
            </w: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，</w:t>
            </w: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其中</w:t>
            </w: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，</w:t>
            </w: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一档为</w:t>
            </w: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市级主管部门组织实施的商务领域公共服务项目</w:t>
            </w: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；二档为</w:t>
            </w: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其他单位组织实施、市级主管部门支持的商务领域公共服务项目</w:t>
            </w: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。</w:t>
            </w:r>
          </w:p>
        </w:tc>
        <w:tc>
          <w:tcPr>
            <w:tcW w:w="3925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一档</w:t>
            </w: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：</w:t>
            </w: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不超过实际发生费用的</w:t>
            </w: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100</w:t>
            </w: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。</w:t>
            </w:r>
          </w:p>
          <w:p>
            <w:pPr>
              <w:pStyle w:val="2"/>
              <w:jc w:val="both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二档</w:t>
            </w: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：</w:t>
            </w: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不超过实际发生费用的50%</w:t>
            </w: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8" w:type="dxa"/>
            <w:noWrap w:val="0"/>
            <w:vAlign w:val="center"/>
          </w:tcPr>
          <w:p>
            <w:pPr>
              <w:pStyle w:val="2"/>
              <w:jc w:val="center"/>
              <w:rPr>
                <w:rFonts w:ascii="黑体" w:hAnsi="黑体" w:eastAsia="黑体"/>
                <w:spacing w:val="-6"/>
                <w:sz w:val="24"/>
                <w:szCs w:val="24"/>
              </w:rPr>
            </w:pPr>
            <w:r>
              <w:rPr>
                <w:rFonts w:ascii="黑体" w:hAnsi="黑体" w:eastAsia="黑体"/>
                <w:spacing w:val="-6"/>
                <w:sz w:val="24"/>
                <w:szCs w:val="24"/>
              </w:rPr>
              <w:t>三</w:t>
            </w:r>
          </w:p>
        </w:tc>
        <w:tc>
          <w:tcPr>
            <w:tcW w:w="12881" w:type="dxa"/>
            <w:gridSpan w:val="4"/>
            <w:noWrap w:val="0"/>
            <w:vAlign w:val="center"/>
          </w:tcPr>
          <w:p>
            <w:pPr>
              <w:pStyle w:val="2"/>
              <w:jc w:val="both"/>
              <w:rPr>
                <w:rFonts w:ascii="黑体" w:hAnsi="黑体" w:eastAsia="黑体"/>
                <w:spacing w:val="-6"/>
                <w:sz w:val="24"/>
                <w:szCs w:val="24"/>
              </w:rPr>
            </w:pPr>
            <w:r>
              <w:rPr>
                <w:rFonts w:ascii="黑体" w:hAnsi="黑体" w:eastAsia="黑体"/>
                <w:spacing w:val="-6"/>
                <w:sz w:val="24"/>
                <w:szCs w:val="24"/>
              </w:rPr>
              <w:t>贷款贴息类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10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商贸服务业企业贷款贴息项目</w:t>
            </w:r>
          </w:p>
        </w:tc>
        <w:tc>
          <w:tcPr>
            <w:tcW w:w="6400" w:type="dxa"/>
            <w:gridSpan w:val="2"/>
            <w:noWrap w:val="0"/>
            <w:vAlign w:val="center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对符合支持条件的商贸服务业企业（项目）贷款，按银行贷款一年期基准利率（具体以当年度1月一年期贷款基础利率LPR为准）给予贴息补助。</w:t>
            </w:r>
          </w:p>
        </w:tc>
        <w:tc>
          <w:tcPr>
            <w:tcW w:w="3925" w:type="dxa"/>
            <w:noWrap w:val="0"/>
            <w:vAlign w:val="center"/>
          </w:tcPr>
          <w:p>
            <w:pPr>
              <w:pStyle w:val="2"/>
              <w:jc w:val="both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补助比例不超过50%，</w:t>
            </w: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每年最高</w:t>
            </w: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200万元</w:t>
            </w: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/个</w:t>
            </w: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eastAsia="方正仿宋简体" w:cs="Times New Roman"/>
          <w:sz w:val="32"/>
          <w:szCs w:val="32"/>
          <w:lang w:val="en-US" w:eastAsia="zh-CN"/>
        </w:rPr>
        <w:sectPr>
          <w:pgSz w:w="16838" w:h="11906" w:orient="landscape"/>
          <w:pgMar w:top="1531" w:right="2098" w:bottom="1531" w:left="1984" w:header="851" w:footer="1474" w:gutter="0"/>
          <w:pgNumType w:fmt="decimal"/>
          <w:cols w:space="720" w:num="1"/>
          <w:rtlGutter w:val="0"/>
          <w:docGrid w:type="linesAndChars" w:linePitch="579" w:charSpace="117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70999"/>
    <w:rsid w:val="4C47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2021-07-09T02:20:00Z</dcterms:created>
  <dc:creator>山水水木</dc:creator>
  <cp:lastModifiedBy>山水水木</cp:lastModifiedBy>
  <dcterms:modified xsi:type="dcterms:W3CDTF">2021-07-09T02:21:26Z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0F1C1DE622244826946AA7686F13AE7F</vt:lpwstr>
  </property>
</Properties>
</file>