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服务活动开展情况统计表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560"/>
        <w:gridCol w:w="1842"/>
        <w:gridCol w:w="1560"/>
        <w:gridCol w:w="2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主要任务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具体内容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服务成果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政策服务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各类政策服务合计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开展解读宣贯活动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精准推送政策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推送政策信息数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创新和技术服务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各类创新和技术服务合计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检验检测服务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技术成果对接转化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成果转化项目数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知识产权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新申请专利数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数字化赋能服务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各类数字化赋能服务合计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数字化赋能服务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提供数字化服务产品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提供产品数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“上云”服务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新增“上云”企业数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智能制造服务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改造升级企业数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工业设计服务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各类工业设计服务合计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工业设计提升产品数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创业服务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各类创业服务合计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举办创业辅导活动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管理咨询服务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各类管理咨询服务合计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帮助建立现代企业制度企业数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融资服务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各类融资服务合计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投融资服务对接活动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帮助企业获得融资额度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金融知识普及教育活动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培训企业数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书宋_GBK" w:eastAsia="方正仿宋_GBK"/>
                <w:color w:val="000000"/>
                <w:sz w:val="24"/>
                <w:szCs w:val="24"/>
              </w:rPr>
              <w:t>培训服务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各类培训服务合计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领军人才培训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课堂及参访学习人数</w:t>
            </w:r>
          </w:p>
        </w:tc>
        <w:tc>
          <w:tcPr>
            <w:tcW w:w="158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 w:cs="宋体"/>
                <w:color w:val="000000"/>
                <w:kern w:val="0"/>
                <w:sz w:val="24"/>
                <w:szCs w:val="24"/>
              </w:rPr>
              <w:t>线上学习人数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培训总人次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书宋_GBK" w:eastAsia="方正仿宋_GBK"/>
                <w:color w:val="000000"/>
                <w:sz w:val="24"/>
                <w:szCs w:val="24"/>
              </w:rPr>
              <w:t xml:space="preserve">市场开拓 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书宋_GBK" w:eastAsia="方正仿宋_GBK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各类市场开拓服务合计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举办商机对接和跨境服务对接活动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帮助企业获得订单额度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举办国际化培训活动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培训总人次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支持企业参加中国国际中小企业博览会等国内外展览展示活动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参加活动场次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支持企业数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达成合作项目数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权益保护服务</w:t>
            </w:r>
          </w:p>
        </w:tc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各类权益保护服务合计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书宋_GBK" w:eastAsia="方正仿宋_GBK"/>
                <w:color w:val="000000"/>
                <w:sz w:val="24"/>
                <w:szCs w:val="24"/>
              </w:rPr>
              <w:t>帮助解决法律问题数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65F37"/>
    <w:rsid w:val="41A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2021-06-02T08:31:00Z</dcterms:created>
  <dc:creator>弘一职校</dc:creator>
  <cp:lastModifiedBy>弘一职校</cp:lastModifiedBy>
  <dcterms:modified xsi:type="dcterms:W3CDTF">2021-06-02T08:34:15Z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9601BC72C4E44F34A65C31BB5AF23F51</vt:lpwstr>
  </property>
</Properties>
</file>