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APEC商务旅行卡简介</w:t>
      </w:r>
    </w:p>
    <w:p>
      <w:pPr>
        <w:rPr>
          <w:rFonts w:hint="eastAsia"/>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什么是APEC商务旅行卡？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APEC商务旅行卡是亚太经合组织经济体成员之间互认的具有5年多次签证功能的国际商务旅行证件。目前，我国护照持有人员办理该卡后5年内可多次出入环太平洋地区16个经济体国家开展商务活动而免办签证。</w:t>
      </w:r>
    </w:p>
    <w:p>
      <w:pPr>
        <w:ind w:firstLine="640" w:firstLineChars="2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APEC商务旅行卡有什么优势？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（1）免办签证，随时出行。持卡人凭护照和APEC商旅卡在5年内无须办理入境签证，自由往来被批准入境的16个APEC经济体国家。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（2）快速通关，方便快捷。持卡人在各21个经济体国家出入境口岸尊享使用APEC商旅卡专用通道，快速通关的便利。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（3）持APEC卡作为身份象征，凭此卡资格申请美加/欧盟申根国多次往返签证成功率可达99%；部分国家为持卡人提供申办签证便利。</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APEC商务旅行卡可享受哪些国家免签证入境？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目前，持有APEC商务旅行卡可免签证入境日本、韩国、马来西亚、印度尼西亚、文莱、菲律宾、新加坡、泰国、越南、澳大利亚、新西兰、巴布亚新几内亚、智利、秘鲁、墨西哥、俄罗斯等16个国家。</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如何申请办卡？</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重庆市人民政府外事办公室指定重庆市外国机构服务处为重庆地区APEC商务旅行卡唯一的承办和管理单位。重庆市非公有制企业人员可直接到重庆市人民政府外事办公室办证大厅申请办理。申办单位具体受理请见“重庆市人民政府外事办公室”官网APEC专区。更多关于APEC商务旅行卡的信息，请扫二维码加入群聊，有专业人士会为你答疑解惑哦！</w:t>
      </w:r>
      <w:bookmarkStart w:id="0" w:name="_GoBack"/>
      <w:bookmarkEnd w:id="0"/>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drawing>
          <wp:inline distT="0" distB="0" distL="114300" distR="114300">
            <wp:extent cx="1336040" cy="1447800"/>
            <wp:effectExtent l="0" t="0" r="16510" b="0"/>
            <wp:docPr id="2" name="图片 2" descr="5564fe5c38095172f17b3e6f3cacf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64fe5c38095172f17b3e6f3cacf42"/>
                    <pic:cNvPicPr>
                      <a:picLocks noChangeAspect="1"/>
                    </pic:cNvPicPr>
                  </pic:nvPicPr>
                  <pic:blipFill>
                    <a:blip r:embed="rId4"/>
                    <a:stretch>
                      <a:fillRect/>
                    </a:stretch>
                  </pic:blipFill>
                  <pic:spPr>
                    <a:xfrm>
                      <a:off x="0" y="0"/>
                      <a:ext cx="1336040" cy="1447800"/>
                    </a:xfrm>
                    <a:prstGeom prst="rect">
                      <a:avLst/>
                    </a:prstGeom>
                  </pic:spPr>
                </pic:pic>
              </a:graphicData>
            </a:graphic>
          </wp:inline>
        </w:drawing>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办理地点和联系方式</w:t>
      </w:r>
      <w:r>
        <w:rPr>
          <w:rFonts w:hint="eastAsia" w:ascii="仿宋_GB2312" w:hAnsi="仿宋_GB2312" w:eastAsia="仿宋_GB2312" w:cs="仿宋_GB2312"/>
          <w:b/>
          <w:bCs/>
          <w:sz w:val="32"/>
          <w:szCs w:val="32"/>
          <w:lang w:val="en-US" w:eastAsia="zh-CN"/>
        </w:rPr>
        <w:br w:type="textWrapping"/>
      </w:r>
      <w:r>
        <w:rPr>
          <w:rFonts w:hint="eastAsia" w:ascii="仿宋_GB2312" w:hAnsi="仿宋_GB2312" w:eastAsia="仿宋_GB2312" w:cs="仿宋_GB2312"/>
          <w:sz w:val="32"/>
          <w:szCs w:val="32"/>
          <w:lang w:val="en-US" w:eastAsia="zh-CN"/>
        </w:rPr>
        <w:t>办理地点：重庆市渝北区洪湖东路57号一楼外事服务大厅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63006000，023-63619506</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办理时间：周一至周五：上午 9:00-12:00；下午 14:00-1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0</w:t>
      </w:r>
    </w:p>
    <w:p>
      <w:pPr>
        <w:ind w:firstLine="640"/>
        <w:rPr>
          <w:rFonts w:hint="default" w:ascii="仿宋_GB2312" w:hAnsi="仿宋_GB2312" w:eastAsia="仿宋_GB2312" w:cs="仿宋_GB2312"/>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altName w:val="黑体"/>
    <w:panose1 w:val="00000000000000000000"/>
    <w:charset w:val="00"/>
    <w:family w:val="auto"/>
    <w:pitch w:val="default"/>
    <w:sig w:usb0="00000000" w:usb1="00000000" w:usb2="00000000" w:usb3="00000000" w:csb0="00000000" w:csb1="00000000"/>
  </w:font>
  <w:font w:name="MicrosoftYaHei">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C06BF"/>
    <w:rsid w:val="0EBC0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2020-07-22T01:23:00Z</dcterms:created>
  <dc:creator>洛洛</dc:creator>
  <cp:lastModifiedBy>洛洛</cp:lastModifiedBy>
  <dcterms:modified xsi:type="dcterms:W3CDTF">2020-07-22T01:58:47Z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